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ReNew Energy Global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nominal value of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G7500M104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Patrice Walch-Watson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Canada Pension Plan Investment Board, One Queen Street East, Suite 2500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Toronto, Ontario, Z4, M5C 2W5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(416) 868-4075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G7500M104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Canada Pension Plan Investment Board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35"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88,846,844.00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88,846,844.00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88,846,844.00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34.6 %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6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Item 13</w:t>
            </w:r>
          </w:p>
        </w:tc>
        <w:tc>
          <w:tcPr>
            <w:tcW w:w="9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calculated based on 244,405,376 Class A ordinary shares (excluding treasury shares), nominal value of</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84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$0.0001</w:t>
            </w:r>
          </w:p>
        </w:tc>
        <w:tc>
          <w:tcPr>
            <w:tcW w:w="958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(the "Shares"), of ReNew Energy Global plc, a public limited company incorporated in England and Wales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(the "Issuer"), outstanding as of March 31, 2025, as reported by the Issuer in its Annual Report on Form 20-F filed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with the U.S. Securities and Exchange Commission (the "SEC") on July 30, 2025. With respect to items 7, 9, 11 and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13, the Reporting Person currently holds 76,501,166 Shares of the Issuer. In addition, the Business Combination</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Agreement grants the Reporting Person the right to, at its discretion, transfer the ordinary shares of Renew Power Private Limited, a company with limited liability incorporated under the laws of India and subsidiary of the Issuer ("ReNew India"), held by the Reporting Person (the "India Shares") to the Issuer in exchange for an aggregate of 12,345,678 Shares. The Reporting Person also holds one Class D ordinary share of the Issuer, nominal value of $0.0001 (the "Class D Share"). The Class D Share effectively gives the Reporting Person the right to exercise its voting rights as if the Reporting Person had already converted the India Shares into Shares. As of March 31, 2025, the Reporting Person is considered to beneficially own an aggregate of 88,846,844 Shares, or 34.6% of the voting rights associated with the outstanding Shares (including 12,345,678 voting rights exercisable by the Reporting Person by virtue of the Class D Share held by the Reporting Person).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nominal value of $0.0001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ReNew Energy Global plc</w:t>
      </w:r>
    </w:p>
    <w:p>
      <w:pPr>
        <w:spacing w:after="0" w:line="20"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74" w:orient="portrait"/>
          <w:cols w:equalWidth="0" w:num="1">
            <w:col w:w="11240"/>
          </w:cols>
          <w:pgMar w:left="320" w:top="126" w:right="339" w:bottom="0" w:gutter="0" w:footer="0" w:header="0"/>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C/O Vistra (UK) Ltd, Suite 3, 7th Floor,, London, UNITED KINGDOM , SW1H 0DB.</w:t>
      </w:r>
    </w:p>
    <w:p>
      <w:pPr>
        <w:spacing w:after="0" w:line="44"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11 (this "Amendment") amends and supplements the Schedule 13D filed by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 on September 2, 2021 and amended and supplemented on February 15, 2022, February 18, 2022, February 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2022, September 23, 2022, October 3, 2022, March 2, 2023, March 8, 2023, July 24, 2023, December 10, 2024 and July 3, 2025 (the "Original Schedule 13D" and, as amended and supplemented by this Amendment, the "Schedule 13D"). Except as specifically provided herein, this Amendment does not modify any of the information previously reported on the Original Schedule 13D. Capitalized terms not otherwise defined in this Amendment shall have the same meanings ascribed thereto in the Original Schedule 13D. This Schedule 13D relates to the Class A ordinary shares, nominal value of $0.0001 (the "Shares"), of ReNew Energy Global plc, a public limited company</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incorporated in England and Wales (the "Issuer").</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jc w:val="both"/>
        <w:ind w:left="920" w:right="280"/>
        <w:spacing w:after="0" w:line="249" w:lineRule="auto"/>
        <w:rPr>
          <w:sz w:val="20"/>
          <w:szCs w:val="20"/>
          <w:color w:val="auto"/>
        </w:rPr>
      </w:pPr>
      <w:r>
        <w:rPr>
          <w:rFonts w:ascii="Times New Roman" w:cs="Times New Roman" w:eastAsia="Times New Roman" w:hAnsi="Times New Roman"/>
          <w:sz w:val="21"/>
          <w:szCs w:val="21"/>
          <w:color w:val="auto"/>
        </w:rPr>
        <w:t>This Amendment amends and restates the final paragraph of Item 2 of the Original Schedule 13D in its entirety as follows: In accordance with the provisions of General Instruction C to Schedule 13D, with respect to the Reporting Person, information concerning the name, business address, principal occupation and citizenship of its general</w:t>
      </w:r>
    </w:p>
    <w:p>
      <w:pPr>
        <w:spacing w:after="0" w:line="1" w:lineRule="exact"/>
        <w:rPr>
          <w:sz w:val="20"/>
          <w:szCs w:val="20"/>
          <w:color w:val="auto"/>
        </w:rPr>
      </w:pPr>
    </w:p>
    <w:p>
      <w:pPr>
        <w:ind w:left="920" w:right="1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executive officers and board of directors and each person controlling the Reporting Person (collectively, the "Covered Persons"), required by Item 2 of Schedule 13D, is provided on Schedule I (attached as Exhibit 99.18) ("Schedule I") and is incorporated by reference herein. Schedule I to this Amendment amends and restates the information set forth on Schedule I to the Original Schedule 13D in its entirety.</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 which is incorporated by reference herein.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 which is incorporated by reference herein.</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Reporting Person nor, to the Reporting Persons' knowledge, any Covered Person listed on Schedule I</w:t>
      </w:r>
    </w:p>
    <w:p>
      <w:pPr>
        <w:spacing w:after="0" w:line="14" w:lineRule="exact"/>
        <w:rPr>
          <w:rFonts w:ascii="Times New Roman" w:cs="Times New Roman" w:eastAsia="Times New Roman" w:hAnsi="Times New Roman"/>
          <w:sz w:val="22"/>
          <w:szCs w:val="22"/>
          <w:color w:val="auto"/>
        </w:rPr>
      </w:pPr>
    </w:p>
    <w:p>
      <w:pPr>
        <w:ind w:left="920" w:right="30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(attached as Exhibit 99.18) has during the last five years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4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Neither the Reporting Person nor, to the Reporting Persons' knowledge, any Covered Person listed on Schedule I (attached as Exhibit 99.18) has during the last five years been a party to a civil proceeding of a judicial or</w:t>
      </w:r>
    </w:p>
    <w:p>
      <w:pPr>
        <w:ind w:left="920" w:right="28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 which is incorporated by reference herein.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60"/>
        <w:spacing w:after="0" w:line="245" w:lineRule="auto"/>
        <w:rPr>
          <w:sz w:val="20"/>
          <w:szCs w:val="20"/>
          <w:color w:val="auto"/>
        </w:rPr>
      </w:pPr>
      <w:r>
        <w:rPr>
          <w:rFonts w:ascii="Times New Roman" w:cs="Times New Roman" w:eastAsia="Times New Roman" w:hAnsi="Times New Roman"/>
          <w:sz w:val="21"/>
          <w:szCs w:val="21"/>
          <w:color w:val="auto"/>
        </w:rPr>
        <w:t>This Amendment amends and supplements Item 4 of the Original Schedule 13D by adding the following: Revised Non-Binding Proposal On October 10, 2025, the Consortium jointly submitted a best and final non-binding proposal (the "Revised Proposal") to the special committee of the Board increasing the price per share that the Consortium is proposing to pay to acquire all of the Shares (on a fully diluted basis) of the Issuer not presently owned by the Consortium in the Proposed Transaction to $8.15 per Share. The Revised Proposal is the Consortium's best and final non-binding offer. The Revised Proposal is non-binding, and no agreement, arrangement or understanding between the Consortium or any Consortium Members, on the one hand, and the Issuer, on the other hand, relating to the Revised Proposal, the Proposed Transaction or any other transaction will be created until such time as definitive agreements for the Proposed Transaction have been executed and delivered. References to, and descriptions of, the Revised Proposal in this Schedule 13D are qualified in their entirety by the terms of the Revised Proposal, a copy of which is attached hereto as Exhibit 99.17 and is incorporated in its entirety into this Item 4.</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0"/>
        <w:spacing w:after="0" w:line="239" w:lineRule="auto"/>
        <w:rPr>
          <w:sz w:val="20"/>
          <w:szCs w:val="20"/>
          <w:color w:val="auto"/>
        </w:rPr>
      </w:pPr>
      <w:r>
        <w:rPr>
          <w:rFonts w:ascii="Times New Roman" w:cs="Times New Roman" w:eastAsia="Times New Roman" w:hAnsi="Times New Roman"/>
          <w:sz w:val="22"/>
          <w:szCs w:val="22"/>
          <w:color w:val="auto"/>
        </w:rPr>
        <w:t>This Amendment amends and supplements Item 7 of the Original Schedule 13D by adding the following: Exhibit 99.17 Revised Proposal, dated October 10, 2025, from Canada Pension Plan Investment Board, Platinum Hawk C 2019 RSC Limited, Abu Dhabi Future Energy Company PJSC-Masdar and Sumant Sinha. Exhibit 99.18 List of Covered Persons</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Canada Pension Plan Investment Board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Pierre Abinakle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Pierre Abinakle / Managing Director, Head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10/10/2025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Comments accompanying signature: </w:t>
      </w:r>
      <w:r>
        <w:rPr>
          <w:rFonts w:ascii="Times New Roman" w:cs="Times New Roman" w:eastAsia="Times New Roman" w:hAnsi="Times New Roman"/>
          <w:sz w:val="21"/>
          <w:szCs w:val="21"/>
          <w:color w:val="auto"/>
        </w:rPr>
        <w:t>Exhibit 99.15 Power of Attorney of Canada Pension Plan Investment Board</w:t>
      </w:r>
    </w:p>
    <w:p>
      <w:pPr>
        <w:sectPr>
          <w:pgSz w:w="11900" w:h="16838" w:orient="portrait"/>
          <w:cols w:equalWidth="0" w:num="1">
            <w:col w:w="11160"/>
          </w:cols>
          <w:pgMar w:left="360" w:top="355" w:right="379" w:bottom="746"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99.17</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October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 Energy Global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Committee of the Board of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Vistra (UK)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3, 7th Floor, 50,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England, SW1H 0DB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Mr. Manoj Singh, Lead Independent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Manoj:</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Consortium would like to thank you, the rest of the special committee and the management of the Company, for your time and continued engagement on the proposed acquisition of the entire issued and to be issued share capital of the Company not already owned by the members of the Consortium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After careful consideration, the Consortium is prepared to submit this revised and enhanced proposal, which is the Consortium’s </w:t>
      </w:r>
      <w:r>
        <w:rPr>
          <w:rFonts w:ascii="Times New Roman" w:cs="Times New Roman" w:eastAsia="Times New Roman" w:hAnsi="Times New Roman"/>
          <w:sz w:val="18"/>
          <w:szCs w:val="18"/>
          <w:b w:val="1"/>
          <w:bCs w:val="1"/>
          <w:u w:val="single" w:color="auto"/>
          <w:color w:val="auto"/>
        </w:rPr>
        <w:t>best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non-binding offer. Subject to alignment on the points outlined below, the Consortium sees a clear path to a mutually agreeable Transaction and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 to work towards the announcement of a binding Transaction in November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Revised Proposal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Consortium is prepared to increase its offer price to US$8.15 per share, payable in cash, for the entire issued and to be issued share capital of the Company not already owned by the members of the Consortium.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revised proposal would provide the Company’s shareholders with a 29% premium to the closing share price of $6.34 per share on 10 December 2024 and a 41% premium to the 30-day volume-weighted average price of $5.76 per share (as of 10 December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Consortium believes that its revised proposal, which would provide shareholders with immediate liquidity and value certainty not available in public markets, would be in the best interest of the Company and its shareholders, and the Consortium trusts that it evidences its willingness to take the Transaction forward to the next stage.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revised proposal is based on the information that you have made available to us and reflects the findings of our due diligence. For the avoidance of doubt, the revised proposal is subject to agreeing the transaction agreement between the Company and the Consortium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and the provision of irrevocable undertakings as described further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confirm that no material items remain outstanding in our due diligence exercise. Our advisers have provided a list of the items required to enable us to close out our confirmatory legal and tax due diligence. As customary, we will inform you should we require any further information as part of our approval processes. We would expect any such requests to be purely confirmatory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progress has been made on the Transaction Agreement over the past few weeks. Our advisers will share an updated draft of the Transaction Agreement with Linklaters later today, which we believe can be agreed in short order.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Consortium Approvals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Consortium members have provided ongoing updates to their respective internal committees. Once you confirm your alignment on the Transaction Agreement, the Consortium members will each seek final approvals to enable each Consortium member to enter into the Transaction Agreement. As noted above, the Consortium would like to work towards announcing a binding Transaction in November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will be implemented through a UK scheme of arrangement. Please find below an indicative timeline setting out the proposed steps and estimated timings to implement the Transaction:</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regulatory approval filings: D + 4 weeks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submission of 13E-3 and scheme document to the SEC for review: D + 6 weeks (for the Company to confirm)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scheme document by the Company: D + 11/12 weeks (subject to timing of SEC review)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shareholder meeting: D + 15/16 weeks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conditions precedent to completion of the Transaction (including regulatory approvals) and scheme of arrangement sanctioned by the UK Court: D + 7-8 months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stop date: D + 12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Options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Warrants: </w:t>
      </w:r>
      <w:r>
        <w:rPr>
          <w:rFonts w:ascii="Times New Roman" w:cs="Times New Roman" w:eastAsia="Times New Roman" w:hAnsi="Times New Roman"/>
          <w:sz w:val="18"/>
          <w:szCs w:val="18"/>
          <w:color w:val="auto"/>
        </w:rPr>
        <w:t>The Consortium wants to ensure all warrants are redeemed. To achieve this, the Company will need to launch a consent 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when the Transaction Agreement is signed to amend the Company’s warrant agreement to provide that each warrant can be redeemed immediately prior to the date on which the scheme of arrangement becomes effective at the Black-Scholes Value, calculated as of the date of this letter. The consent solicitation may need to be combined with a tender offer to reduce the number of warrants outstanding following completion of the Transaction (if the consent for the amendment to the warrant agreement is not obtained). The Company’s articles will also need to be amended to include a provision to allow one or more members of the Consortium to acquire any class A shares issued following exercise of the warrants following completion of the Transaction for consideration equal to the offer price. Our advisers have shared a draft amendment to the warrant agreement with Linklaters on 22 September 2025. Additional details can also be found in clause 14 of the Transaction Agreement.</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The Consortium members (other than the Founder) and the Founder are in material agreement on the principal terms of the ESOP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plan for the Founder and CEO. Details of a similar plan for the broader management team are included in the updated draft of the Transaction Agreement which will be shared with Linklaters later today.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Shareholder Support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Consortium expects to receive hard irrevocable undertakings from directors of the Company (other than the founder and the nominee directors of the Consortium members), and certain other of Renew’s largest shareholders. Our advisers have shared drafts of the irrevocable undertakings with Linklaters.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set out in the draft Transaction Agreement, we expect completion of the Transaction to be conditional on, amongst other things: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in the jurisdictions identified in the draft Transaction Agreement (subject to ongoing discussions with Linklaters);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approval of the Transaction from the Company’s shareholders and the scheme of arrangement being sanctioned by the UK Court;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warrants being redeemed;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certain approvals in relation to its existing financings and other agreements;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warranties from the Company being materially true and accurate;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not being in material breach of its obligations under the Transaction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schedule 1 of the Transaction Agreement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appointments of all independent directors will be terminated on or shortly after completion of the Transaction in line with the terms of their respective engagement letters.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the Consortium would like to thank you again for your engagement on this Transaction and looks forward to continuing to work together expeditiously towards the announcement of a binding Transaction.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As is customary, this proposal is not to be construed as a binding, definitive or irrevocable proposal, agreement or contract. The proposal is non-binding until such time as the potential parties to the Transaction enter into legally binding definitive transaction documents in respect of the Transaction.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 Pension Plan Investment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Bill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Bill Rogers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Platinum Hawk C 2019 RSC Limited as trustee for the Platinum Cactus A 2019 Trust</w:t>
      </w:r>
    </w:p>
    <w:p>
      <w:pPr>
        <w:sectPr>
          <w:pgSz w:w="11900" w:h="16838" w:orient="portrait"/>
          <w:cols w:equalWidth="0" w:num="1">
            <w:col w:w="10139"/>
          </w:cols>
          <w:pgMar w:left="320" w:top="904" w:right="1440"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Suhail Al Dhaheri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Suhail Al Dhaheri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Mamoun Jamai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4886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Mamoun Jamai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Authorised Signatory</w:t>
      </w:r>
    </w:p>
    <w:p>
      <w:pPr>
        <w:spacing w:after="0" w:line="200" w:lineRule="exact"/>
        <w:rPr>
          <w:sz w:val="20"/>
          <w:szCs w:val="20"/>
          <w:color w:val="auto"/>
        </w:rPr>
      </w:pPr>
    </w:p>
    <w:p>
      <w:pPr>
        <w:sectPr>
          <w:pgSz w:w="11900" w:h="16838" w:orient="portrait"/>
          <w:cols w:equalWidth="0" w:num="2">
            <w:col w:w="5020" w:space="720"/>
            <w:col w:w="4399"/>
          </w:cols>
          <w:pgMar w:left="320" w:top="904"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Abu Dhabi Future Energy Company PJSC-Masdar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Mohamed Jameel Al Ramahi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Mohamed Jameel Al Ramahi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Sumant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Sumant Sinha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Founder</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Officers of Canada Pension Plan Investment Board</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name, present principal occupation or employment, business address and citizenship of each of the directors and executive officers of Canada Pension Plan Investment Board are set forth below.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of Canada Pension Plan Investment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Judith Athaide</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Corporate Executive, The Cogent Group Inc. Citizenship: Canada, 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Chrominska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Dean Connor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Gillian (Jill) Denham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 United Kingdom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 ‘Mark’ Evans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Ashleigh Everett</w:t>
      </w:r>
    </w:p>
    <w:p>
      <w:pPr>
        <w:spacing w:after="0" w:line="27" w:lineRule="exact"/>
        <w:rPr>
          <w:sz w:val="20"/>
          <w:szCs w:val="20"/>
          <w:color w:val="auto"/>
        </w:rPr>
      </w:pPr>
    </w:p>
    <w:p>
      <w:pPr>
        <w:ind w:right="3720"/>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Corporate Executive, Royal Canadian Securities Limited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Tahira Hassan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 Pakistan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Montalbano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Perry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Mary Phibbs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Australia, United Kingdom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Boon Sim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Occupation: Corporate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 United States</w:t>
      </w:r>
    </w:p>
    <w:p>
      <w:pPr>
        <w:spacing w:after="0" w:line="203" w:lineRule="exact"/>
        <w:rPr>
          <w:sz w:val="20"/>
          <w:szCs w:val="20"/>
          <w:color w:val="auto"/>
        </w:rPr>
      </w:pPr>
    </w:p>
    <w:p>
      <w:pPr>
        <w:jc w:val="right"/>
        <w:ind w:right="2159"/>
        <w:spacing w:after="0"/>
        <w:rPr>
          <w:sz w:val="20"/>
          <w:szCs w:val="20"/>
          <w:color w:val="auto"/>
        </w:rPr>
      </w:pPr>
      <w:r>
        <w:rPr>
          <w:rFonts w:ascii="Times New Roman" w:cs="Times New Roman" w:eastAsia="Times New Roman" w:hAnsi="Times New Roman"/>
          <w:sz w:val="18"/>
          <w:szCs w:val="18"/>
          <w:b w:val="1"/>
          <w:bCs w:val="1"/>
          <w:color w:val="auto"/>
        </w:rPr>
        <w:t>Executive Officers of Canada Pension Plan Investment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Graham</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President and Chief Executive Officer Citizenship: Canada, United Kingdom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Maximilian Biagosch</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Global Head of Real Assets &amp; Head of Europe Citizenship: Germany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Edwin D. Cass</w:t>
      </w:r>
    </w:p>
    <w:p>
      <w:pPr>
        <w:spacing w:after="0" w:line="27" w:lineRule="exact"/>
        <w:rPr>
          <w:sz w:val="20"/>
          <w:szCs w:val="20"/>
          <w:color w:val="auto"/>
        </w:rPr>
      </w:pPr>
    </w:p>
    <w:p>
      <w:pPr>
        <w:ind w:right="2619"/>
        <w:spacing w:after="0" w:line="260"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Investment Officer Citizenship: Canada</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Edgell</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Credit Investments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Fanjoy</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Financial Officer Citizenship: Canada, Croatia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Gubbels</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Private Equity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Ieraci</w:t>
      </w:r>
    </w:p>
    <w:p>
      <w:pPr>
        <w:spacing w:after="0" w:line="27" w:lineRule="exact"/>
        <w:rPr>
          <w:sz w:val="20"/>
          <w:szCs w:val="20"/>
          <w:color w:val="auto"/>
        </w:rPr>
      </w:pPr>
    </w:p>
    <w:p>
      <w:pPr>
        <w:ind w:right="237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Active Equities and Investment Science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Manroop Jhooty</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Head of Total Fund Management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 Leduc</w:t>
      </w:r>
    </w:p>
    <w:p>
      <w:pPr>
        <w:spacing w:after="0" w:line="27" w:lineRule="exact"/>
        <w:rPr>
          <w:sz w:val="20"/>
          <w:szCs w:val="20"/>
          <w:color w:val="auto"/>
        </w:rPr>
      </w:pPr>
    </w:p>
    <w:p>
      <w:pPr>
        <w:jc w:val="both"/>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Public Affairs and Communications Citizenship: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Geoffrey Rubin</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One Fund Strategist Citizenship: Canada, United States, Switzerland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Priti Singh</w:t>
      </w:r>
    </w:p>
    <w:p>
      <w:pPr>
        <w:spacing w:after="0" w:line="27" w:lineRule="exact"/>
        <w:rPr>
          <w:sz w:val="20"/>
          <w:szCs w:val="20"/>
          <w:color w:val="auto"/>
        </w:rPr>
      </w:pPr>
    </w:p>
    <w:p>
      <w:pPr>
        <w:ind w:right="2619"/>
        <w:spacing w:after="0" w:line="260"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Risk Officer Citizenship: Canada</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Sullivan</w:t>
      </w:r>
    </w:p>
    <w:p>
      <w:pPr>
        <w:spacing w:after="0" w:line="27" w:lineRule="exact"/>
        <w:rPr>
          <w:sz w:val="20"/>
          <w:szCs w:val="20"/>
          <w:color w:val="auto"/>
        </w:rPr>
      </w:pPr>
    </w:p>
    <w:p>
      <w:pPr>
        <w:ind w:right="2619"/>
        <w:spacing w:after="0" w:line="260"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Talent Officer Citizenship: Canada</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Agus Tandiono</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Head of Asia Pacific &amp; Active Equities Asia Citizenship: Indonesia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Tobin</w:t>
      </w:r>
    </w:p>
    <w:p>
      <w:pPr>
        <w:spacing w:after="0" w:line="27" w:lineRule="exact"/>
        <w:rPr>
          <w:sz w:val="20"/>
          <w:szCs w:val="20"/>
          <w:color w:val="auto"/>
        </w:rPr>
      </w:pPr>
    </w:p>
    <w:p>
      <w:pPr>
        <w:jc w:val="both"/>
        <w:ind w:right="255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Global Head of Capital Markets and Factor Investing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Patrice Walch-Watson</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General Counsel &amp; Corporate Secretary Citizenship: Canada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Webster</w:t>
      </w:r>
    </w:p>
    <w:p>
      <w:pPr>
        <w:spacing w:after="0" w:line="27" w:lineRule="exact"/>
        <w:rPr>
          <w:sz w:val="20"/>
          <w:szCs w:val="20"/>
          <w:color w:val="auto"/>
        </w:rPr>
      </w:pPr>
    </w:p>
    <w:p>
      <w:pPr>
        <w:ind w:right="2619"/>
        <w:spacing w:after="0" w:line="255" w:lineRule="auto"/>
        <w:rPr>
          <w:sz w:val="20"/>
          <w:szCs w:val="20"/>
          <w:color w:val="auto"/>
        </w:rPr>
      </w:pPr>
      <w:r>
        <w:rPr>
          <w:rFonts w:ascii="Times New Roman" w:cs="Times New Roman" w:eastAsia="Times New Roman" w:hAnsi="Times New Roman"/>
          <w:sz w:val="18"/>
          <w:szCs w:val="18"/>
          <w:color w:val="auto"/>
        </w:rPr>
        <w:t>c/o Canada Pension Plan Investment Board, One Queen Street East, Suite 2500, Toronto, ON M5C 2W5 Principal Occupation: Senior Managing Director &amp; Chief Operating Officer Citizenship: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2025-10-10T16:04:24Z</dcterms:created>
  <dcterms:modified xsi:type="dcterms:W3CDTF">2025-10-10T16:04:24Z</dcterms:modified>
</cp:coreProperties>
</file>