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ReNew Energy Global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Sumant Sinha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Commercial Block-1, Zone 6, Golf Course, DLF City Phase-V</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Gurugram, K7, 122009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 124 489 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Sinha Sumant</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47,558,982.00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11,437,641.00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47,558,982.00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11,437,641.00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58,996,705.00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Cognisa Investment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6,498,328.00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6,498,328.00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6,498,328.00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Wisemore Advisory Private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4,939,313.00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4,939,313.00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4,939,313.00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ReNew Energy Global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C/O Vistra (UK) Ltd Suite 3, 7th Floor, 50 Broadway, London, UNITED KINGDOM , SW1H 0DB.</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8 (the "Amendment No.8") is being filed by the undersigned, pursuant to 240.13d-2(a),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 and supplement the Schedule 13D filed with the U.S. Securities and Exchange Commission (the "SEC")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Reporting Persons on September 2, 2021, as amended and supplemented on November 21, 2022, November 30, 2023, December 10, 2024, July 2, 2025, October 10, 2025, December 15, 2025 and May 28, 2025 (the "Original Schedule 13D") and as further amended and supplemented by this Amendment No. 8 to the Original Schedule 13D (collectively, the "Schedule 13D"). Except as specifically provided herein, this Amendment No. 8 does not modify any of the information previously reported on the Original Schedule 13D. Capitalized terms not otherwise defined in</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Amendment No. 8 shall have the same meanings ascribed thereto in the Original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40"/>
        <w:spacing w:after="0" w:line="282" w:lineRule="auto"/>
        <w:rPr>
          <w:sz w:val="20"/>
          <w:szCs w:val="20"/>
          <w:color w:val="auto"/>
        </w:rPr>
      </w:pPr>
      <w:r>
        <w:rPr>
          <w:rFonts w:ascii="Times New Roman" w:cs="Times New Roman" w:eastAsia="Times New Roman" w:hAnsi="Times New Roman"/>
          <w:sz w:val="21"/>
          <w:szCs w:val="21"/>
          <w:color w:val="auto"/>
        </w:rPr>
        <w:t>This Amendment amends and supplements Item 7 of the Original Schedule 13D by adding the following: Exhibit 99.16 Revised Proposal, dated May 28, 2026, from Canada Pension Plan Investment Board and Sumant Sinha.</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Sinha Sumant</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Sumant Sinha, in person capacity</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Cognisa Investment</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Sumant Sinha, Partner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Wisemore Advisory Private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Sumant Sinha,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ectPr>
          <w:pgSz w:w="11900" w:h="16838" w:orient="portrait"/>
          <w:cols w:equalWidth="0" w:num="1">
            <w:col w:w="11160"/>
          </w:cols>
          <w:pgMar w:left="360" w:top="112" w:right="379" w:bottom="1031"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28 May 2026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 Energy Global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Vistra (UK) Ltd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 7th Floor, 50, Broadway,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 SW1H 0DB</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Mr. Manoj Singh, Lead Independent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Manoj,</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writing to you on behalf of Canada Pension Plan Investment Board (“</w:t>
      </w:r>
      <w:r>
        <w:rPr>
          <w:rFonts w:ascii="Times New Roman" w:cs="Times New Roman" w:eastAsia="Times New Roman" w:hAnsi="Times New Roman"/>
          <w:sz w:val="18"/>
          <w:szCs w:val="18"/>
          <w:b w:val="1"/>
          <w:bCs w:val="1"/>
          <w:color w:val="auto"/>
        </w:rPr>
        <w:t>CPP Investments</w:t>
      </w:r>
      <w:r>
        <w:rPr>
          <w:rFonts w:ascii="Times New Roman" w:cs="Times New Roman" w:eastAsia="Times New Roman" w:hAnsi="Times New Roman"/>
          <w:sz w:val="18"/>
          <w:szCs w:val="18"/>
          <w:color w:val="auto"/>
        </w:rPr>
        <w:t>”) and Sumant Sinha (together the “Consortium”) to thank you, the rest of the special committee and the management of the Company, for your continued engagement and to submit this non-binding proposal (the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to, subject to the Rollover as described in the “Transaction Structure” section below, acquire the entire issued and to be issued share capital of ReNew Energy Global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not already owned by the members of the Consortium or their affiliates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for a cash consideration of $6.75 per share (the “</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Subject to alignment on the points outlined below, the Consortium would like to work promptly towards a binding Transaction.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would provide the Company’s shareholders who do not elect to participate in the Rollover with the Cash Consideration which represents a 25% premium to the volume-weighted average price of $5.38 per share since 15 December 2025 when relevant SEC filings were submitted indicating that a consortium led by Masdar would no longer pursue its proposed transaction to acquire the Company.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Consortium believes that the Proposal is in the best interest of the Company and its shareholders as it would provide shareholders who elect to receive the Cash Consideration with liquidity not available in public markets, and shareholders who see long term value in the Company with an option to continue as shareholders through the Rollover.</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 is based on the information that you have made available to us and reflects the findings of our previous due diligence. For the avoidance of doubt, the Proposal is subject to agreeing the transaction agreement between the Company and the Consortium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completion of our bringdown due diligence, and the provision of irrevocable undertakings as described further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Bringdown Due Diligence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Proposal is subject to completion of customary bringdown due diligence to confirm any material developments at the Company since our last due diligence exercise. Our advisors have provided a list of the items required to enable us to close out our bringdown due diligence exercise.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legal adviser will share a draft of the Transaction Agreement with Linklaters in parallel with this Proposal, which we expect can be finalized in short order.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Consortium Approvals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CPP Investments has provided ongoing updates to its investment committee. Once you confirm your alignment on the Transaction Agreement, CPP Investments will seek final approvals to enter into the Transaction Agreement. The Consortium would like to work towards announcing a binding Transaction in June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will be implemented through a UK scheme of arrangement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Scheme, each non-consortium shareholder of the Company will be entitled to either (i) receive the Cash Consideration for each share of the Company it holds in exchange for transferring its shares to CPP Investments or its designated affiliates (the “</w:t>
      </w:r>
      <w:r>
        <w:rPr>
          <w:rFonts w:ascii="Times New Roman" w:cs="Times New Roman" w:eastAsia="Times New Roman" w:hAnsi="Times New Roman"/>
          <w:sz w:val="18"/>
          <w:szCs w:val="18"/>
          <w:b w:val="1"/>
          <w:bCs w:val="1"/>
          <w:color w:val="auto"/>
        </w:rPr>
        <w:t>Cash Offer</w:t>
      </w:r>
      <w:r>
        <w:rPr>
          <w:rFonts w:ascii="Times New Roman" w:cs="Times New Roman" w:eastAsia="Times New Roman" w:hAnsi="Times New Roman"/>
          <w:sz w:val="18"/>
          <w:szCs w:val="18"/>
          <w:color w:val="auto"/>
        </w:rPr>
        <w:t>”), or (ii) elect to retain its shares in the Company (the “</w:t>
      </w:r>
      <w:r>
        <w:rPr>
          <w:rFonts w:ascii="Times New Roman" w:cs="Times New Roman" w:eastAsia="Times New Roman" w:hAnsi="Times New Roman"/>
          <w:sz w:val="18"/>
          <w:szCs w:val="18"/>
          <w:b w:val="1"/>
          <w:bCs w:val="1"/>
          <w:color w:val="auto"/>
        </w:rPr>
        <w:t>Rollover</w:t>
      </w:r>
      <w:r>
        <w:rPr>
          <w:rFonts w:ascii="Times New Roman" w:cs="Times New Roman" w:eastAsia="Times New Roman" w:hAnsi="Times New Roman"/>
          <w:sz w:val="18"/>
          <w:szCs w:val="18"/>
          <w:color w:val="auto"/>
        </w:rPr>
        <w:t>”, any such shareholder electing to participate in the Rollover being a “</w:t>
      </w:r>
      <w:r>
        <w:rPr>
          <w:rFonts w:ascii="Times New Roman" w:cs="Times New Roman" w:eastAsia="Times New Roman" w:hAnsi="Times New Roman"/>
          <w:sz w:val="18"/>
          <w:szCs w:val="18"/>
          <w:b w:val="1"/>
          <w:bCs w:val="1"/>
          <w:color w:val="auto"/>
        </w:rPr>
        <w:t>Rolling Shareholder</w:t>
      </w:r>
      <w:r>
        <w:rPr>
          <w:rFonts w:ascii="Times New Roman" w:cs="Times New Roman" w:eastAsia="Times New Roman" w:hAnsi="Times New Roman"/>
          <w:sz w:val="18"/>
          <w:szCs w:val="18"/>
          <w:color w:val="auto"/>
        </w:rPr>
        <w:t>”). Unless a shareholder specifically makes an election for Rollover prior to the court hearing for the Scheme, such shareholder will receive the Cash Offer.</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certain regulatory and compliance reasons, the Scheme will be structured so that: (i) if the Company is expected to have more than 200 shareholders (taking into account the Rollover) immediately following the effective date of the Scheme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elections from those shareholders with the smallest shareholdings in the Company will be voided, and those shareholders will instead receive the Cash Offer (in the same way as those shareholders that had initially elected to receive the Cash Offer) such that there are not more than 200 shareholders in the Company post-Closing, and/or (ii) if any US shareholders of the Company who elect to participate in the Rollover collectively hold more than 8% of the Class A shares after implementation of the Scheme at Closing, such US shareholders electing for the Rollover will be scaled back pro rata such that their elections shall be below 8% (with any excess elections above this amount receiving the Cash Offer).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expected that, shortly after the closing of the Scheme, the Company will undergo a reorganization such that all remaining shareholders in the Company will become direct shareholders of ReNew Private Limited, the Company’s private Indian subsidiary (the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Rolling Shareholders would be required to, as part of the terms of the Scheme, grant powers of attorney to the Company to sign on their behalf: (i) the post-closing shareholders’ agreement, and (ii) the documents that will effect the post-Closing reorganization steps, which include, in broad terms, an elimination of the Company’s current multi-class share capital structure and a distribution of shares in ReNew Private Limited to each of the Company’s shareholders on a pro rata basis and for fair market value.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Treatment of outstanding options currently held by employees (including the Company’s founder and management team) as part of the Transaction is subject to discussion with the Company and its counsel in parallel with the finalization of the Transaction Agreement.</w:t>
      </w:r>
    </w:p>
    <w:p>
      <w:pPr>
        <w:sectPr>
          <w:pgSz w:w="11900" w:h="16838" w:orient="portrait"/>
          <w:cols w:equalWidth="0" w:num="1">
            <w:col w:w="11240"/>
          </w:cols>
          <w:pgMar w:left="320" w:top="117"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Shareholder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Consortium expects to receive hard irrevocable undertakings from JERA and ADIA as a condition to signing the Transaction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out in the draft Transaction Agreement, we expect completion of the Transaction to be conditional on, amongst other things: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receipt of applicable regulatory approvals;</w:t>
      </w:r>
    </w:p>
    <w:p>
      <w:pPr>
        <w:spacing w:after="0" w:line="373" w:lineRule="exact"/>
        <w:rPr>
          <w:sz w:val="20"/>
          <w:szCs w:val="20"/>
          <w:color w:val="auto"/>
        </w:rPr>
      </w:pPr>
    </w:p>
    <w:p>
      <w:pPr>
        <w:ind w:left="660" w:right="1700"/>
        <w:spacing w:after="0" w:line="688" w:lineRule="auto"/>
        <w:rPr>
          <w:sz w:val="20"/>
          <w:szCs w:val="20"/>
          <w:color w:val="auto"/>
        </w:rPr>
      </w:pPr>
      <w:r>
        <w:rPr>
          <w:rFonts w:ascii="Times New Roman" w:cs="Times New Roman" w:eastAsia="Times New Roman" w:hAnsi="Times New Roman"/>
          <w:sz w:val="18"/>
          <w:szCs w:val="18"/>
          <w:color w:val="auto"/>
        </w:rPr>
        <w:t>receipt of approval of the Transaction from the Company’s shareholders and the Scheme being sanctioned by the UK court; the warranties from the Company being materially true and accurate; and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not being in material breach of its obligations under the Transaction Agreement.</w:t>
      </w: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the Consortium would like to thank you again for your engagement on this Transaction and looks forward to continuing to work together expeditiously towards the announcement of a binding Transaction.</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 is customary, this Proposal is not to be construed as a binding, definitive or irrevocable proposal, agreement or contract. The Proposal is non-binding until such time as the potential parties to the Transaction enter into legally binding definitive transaction documents in respect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Bill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Bill Rogers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Sumant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8319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Sumant Sinha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Founder</w:t>
      </w:r>
    </w:p>
    <w:sectPr>
      <w:pgSz w:w="11900" w:h="16838" w:orient="portrait"/>
      <w:cols w:equalWidth="0" w:num="1">
        <w:col w:w="10139"/>
      </w:cols>
      <w:pgMar w:left="32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2026-05-29T12:26:46Z</dcterms:created>
  <dcterms:modified xsi:type="dcterms:W3CDTF">2026-05-29T12:26:46Z</dcterms:modified>
</cp:coreProperties>
</file>