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4089-3_4seq1.xml.htm"/>
      <w:bookmarkStart w:id="1" w:name="kstm26240893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Singh Manoj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VISTRA (UK) LTD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3, 7TH FLOOR, 50 BROADWAY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LONDON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SW1H 0DB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UNITED KINGDOM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ReNew Energy Global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RNW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08/26/2026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4"/>
        <w:gridCol w:w="903"/>
        <w:gridCol w:w="772"/>
        <w:gridCol w:w="600"/>
        <w:gridCol w:w="347"/>
        <w:gridCol w:w="926"/>
        <w:gridCol w:w="449"/>
        <w:gridCol w:w="838"/>
        <w:gridCol w:w="1154"/>
        <w:gridCol w:w="991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25,959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0.0001</w:t>
            </w:r>
          </w:p>
        </w:tc>
        <w:tc>
          <w:tcPr>
            <w:tcW w:w="11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141,334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Reporting Person received a grant of restricted stock units ("RSUs") pursuant to the Issuer's Non-Employee 2021 Incentive Award Plan. The RSUs vest on August 23, 2027, subject to the Reporting Person's continuous service through such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Manoj P. Singh, by Samir Rai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01621" TargetMode="External"/><Relationship Id="rId5" Type="http://schemas.openxmlformats.org/officeDocument/2006/relationships/hyperlink" Target="http://www.sec.gov/cgi-bin/browse-edgar?action=getcompany&amp;CIK=000184876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615</Words>
  <Characters>3327</Characters>
  <CharactersWithSpaces>3875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