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6k_agm_voting_results__1.htm"/>
      <w:bookmarkStart w:id="1" w:name="ks6k_agm_voting_results__1"/>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w:t>
      </w:r>
    </w:p>
    <w:p>
      <w:pPr>
        <w:pStyle w:val="TextBody"/>
        <w:bidi w:val="0"/>
        <w:jc w:val="center"/>
        <w:rPr>
          <w:rFonts w:ascii="Times New Roman" w:hAnsi="Times New Roman"/>
          <w:b/>
          <w:color w:val="000000"/>
          <w:sz w:val="22"/>
        </w:rPr>
      </w:pPr>
      <w:r>
        <w:rPr>
          <w:rFonts w:ascii="Times New Roman" w:hAnsi="Times New Roman"/>
          <w:b/>
          <w:color w:val="000000"/>
          <w:sz w:val="22"/>
        </w:rPr>
        <w:t>PURSUANT TO RULE 13a-16 OR 15d-16</w:t>
      </w:r>
    </w:p>
    <w:p>
      <w:pPr>
        <w:pStyle w:val="TextBody"/>
        <w:bidi w:val="0"/>
        <w:jc w:val="center"/>
        <w:rPr>
          <w:rFonts w:ascii="Times New Roman" w:hAnsi="Times New Roman"/>
          <w:b/>
          <w:color w:val="000000"/>
          <w:sz w:val="22"/>
        </w:rPr>
      </w:pPr>
      <w:r>
        <w:rPr>
          <w:rFonts w:ascii="Times New Roman" w:hAnsi="Times New Roman"/>
          <w:b/>
          <w:color w:val="000000"/>
          <w:sz w:val="22"/>
        </w:rPr>
        <w:t>UNDER THE SECURITIES EXCHANGE ACT OF 1934</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September 16,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001-40752</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3"/>
        </w:rPr>
      </w:pPr>
      <w:r>
        <w:rPr>
          <w:rFonts w:ascii="Times New Roman" w:hAnsi="Times New Roman"/>
          <w:b/>
          <w:color w:val="000000"/>
          <w:sz w:val="43"/>
        </w:rPr>
        <w:t>RENEW ENERGY GLOBAL PLC</w:t>
      </w:r>
    </w:p>
    <w:p>
      <w:pPr>
        <w:pStyle w:val="TextBody"/>
        <w:bidi w:val="0"/>
        <w:jc w:val="center"/>
        <w:rPr>
          <w:rFonts w:ascii="Times New Roman" w:hAnsi="Times New Roman"/>
          <w:b/>
          <w:color w:val="000000"/>
          <w:sz w:val="18"/>
        </w:rPr>
      </w:pPr>
      <w:r>
        <w:rPr>
          <w:rFonts w:ascii="Times New Roman" w:hAnsi="Times New Roman"/>
          <w:b/>
          <w:color w:val="000000"/>
          <w:sz w:val="18"/>
        </w:rPr>
        <w:t>(Translation of registrant’s name into English)</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 Vistra (UK) Ltd, Suite 3, 7th Floor</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50, Broadway, London, England, SW1H 0DB, United Kingdom</w:t>
      </w:r>
    </w:p>
    <w:p>
      <w:pPr>
        <w:pStyle w:val="TextBody"/>
        <w:bidi w:val="0"/>
        <w:jc w:val="center"/>
        <w:rPr>
          <w:rFonts w:ascii="Times New Roman" w:hAnsi="Times New Roman"/>
          <w:b/>
          <w:color w:val="000000"/>
          <w:sz w:val="14"/>
        </w:rPr>
      </w:pPr>
      <w:r>
        <w:rPr>
          <w:rFonts w:ascii="Times New Roman" w:hAnsi="Times New Roman"/>
          <w:b/>
          <w:color w:val="000000"/>
          <w:sz w:val="14"/>
        </w:rPr>
        <w:t>(Address of principal executive office)</w:t>
      </w:r>
    </w:p>
    <w:p>
      <w:pPr>
        <w:pStyle w:val="TextBody"/>
        <w:bidi w:val="0"/>
        <w:jc w:val="left"/>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7"/>
        </w:rPr>
      </w:pPr>
      <w:r>
        <w:rPr>
          <w:rFonts w:ascii="Times New Roman" w:hAnsi="Times New Roman"/>
          <w:color w:val="000000"/>
          <w:sz w:val="17"/>
        </w:rPr>
        <w:t>Indicate by check mark whether the registrant files or will file annual reports under cover of Form 20-F or Form 40-F.</w:t>
      </w:r>
    </w:p>
    <w:p>
      <w:pPr>
        <w:pStyle w:val="TextBody"/>
        <w:bidi w:val="0"/>
        <w:jc w:val="left"/>
        <w:rPr/>
      </w:pPr>
      <w:r>
        <w:rPr/>
        <w:t> </w:t>
      </w:r>
    </w:p>
    <w:p>
      <w:pPr>
        <w:pStyle w:val="TextBody"/>
        <w:bidi w:val="0"/>
        <w:jc w:val="center"/>
        <w:rPr>
          <w:rFonts w:ascii="Times New Roman" w:hAnsi="Times New Roman"/>
          <w:sz w:val="17"/>
        </w:rPr>
      </w:pPr>
      <w:r>
        <w:rPr>
          <w:rFonts w:ascii="Times New Roman" w:hAnsi="Times New Roman"/>
          <w:color w:val="000000"/>
          <w:sz w:val="18"/>
        </w:rPr>
        <w:t xml:space="preserve">Form 20-F </w:t>
      </w:r>
      <w:r>
        <w:rPr>
          <w:rFonts w:ascii="Times New Roman" w:hAnsi="Times New Roman"/>
          <w:color w:val="000000"/>
          <w:sz w:val="17"/>
        </w:rPr>
        <w:t>☒ Form 40-F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Other events</w:t>
      </w:r>
    </w:p>
    <w:p>
      <w:pPr>
        <w:pStyle w:val="TextBody"/>
        <w:bidi w:val="0"/>
        <w:jc w:val="both"/>
        <w:rPr/>
      </w:pPr>
      <w:r>
        <w:rPr/>
        <w:t> </w:t>
      </w:r>
    </w:p>
    <w:p>
      <w:pPr>
        <w:pStyle w:val="TextBody"/>
        <w:bidi w:val="0"/>
        <w:jc w:val="left"/>
        <w:rPr>
          <w:rFonts w:ascii="Times New Roman" w:hAnsi="Times New Roman"/>
          <w:b/>
          <w:color w:val="000000"/>
          <w:sz w:val="21"/>
        </w:rPr>
      </w:pPr>
      <w:r>
        <w:rPr>
          <w:rFonts w:ascii="Times New Roman" w:hAnsi="Times New Roman"/>
          <w:b/>
          <w:color w:val="000000"/>
          <w:sz w:val="21"/>
        </w:rPr>
        <w:t>Fifth Annual General Meeting voting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Gurugram, India; September 16, 2026: </w:t>
      </w:r>
      <w:r>
        <w:rPr>
          <w:rFonts w:ascii="Times New Roman" w:hAnsi="Times New Roman"/>
          <w:color w:val="000000"/>
          <w:sz w:val="20"/>
        </w:rPr>
        <w:t>ReNew Energy Global Plc (“ReNew” or “the Company”) (NASDAQ: RNW) announces that it held its fifth Annual General Meeting on Wednesday, September 16, 2026 at 11:30 a.m. BST at St. James’ Court, the Taj, 54 Buckingham Gate, London, SW1E 6AF, United Kingdom. Each of the resolutions submitted to shareholders was approved with the requisite majority. All resolutions were passed as ordinary resolutions.</w:t>
      </w:r>
    </w:p>
    <w:p>
      <w:pPr>
        <w:pStyle w:val="TextBody"/>
        <w:bidi w:val="0"/>
        <w:jc w:val="both"/>
        <w:rPr/>
      </w:pPr>
      <w:r>
        <w:rPr>
          <w:rFonts w:cs="Tahoma;sans-serif"/>
          <w:color w:val="000000"/>
          <w:szCs w:val="20"/>
        </w:rPr>
        <w:t>﻿</w:t>
      </w:r>
      <w:r>
        <w:rPr>
          <w:rFonts w:ascii="Times New Roman" w:hAnsi="Times New Roman"/>
          <w:color w:val="000000"/>
          <w:sz w:val="20"/>
        </w:rPr>
        <w:br/>
        <w:t>Specifically, the shareholders (i) approved the Annual Reports and Accounts of the Company for the financial year ended March 31, 2026; (ii) approved the directors’ remuneration report in respect of the financial year ended March 31, 2026; (iii) reappointed KNAV Limited as auditor of the Company to hold office until the conclusion of the next annual general meeting; and (iv) authorised the Board and its Audit Committee severally to determine the auditor’s remuneration.</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Forward-Looking Statements</w:t>
      </w:r>
    </w:p>
    <w:p>
      <w:pPr>
        <w:pStyle w:val="TextBody"/>
        <w:bidi w:val="0"/>
        <w:jc w:val="both"/>
        <w:rPr>
          <w:rFonts w:ascii="Times New Roman" w:hAnsi="Times New Roman"/>
          <w:color w:val="000000"/>
          <w:sz w:val="21"/>
        </w:rPr>
      </w:pPr>
      <w:r>
        <w:rPr>
          <w:rFonts w:ascii="Times New Roman" w:hAnsi="Times New Roman"/>
          <w:color w:val="000000"/>
          <w:sz w:val="21"/>
        </w:rPr>
        <w:t>This release includes “forward-looking statements” within the meaning of the “safe harbor” provisions of the United States Private Securities Litigation Reform Act of 1995. Forward-looking statements may be identified by the use of words such as “estimate,” “objective,” “plan,” “project,” “forecast,” “intend,” “will,” “expect,” “anticipate,” “believe,” “seek,” “target,” “milestone,” “designed to,” “proposed” or other similar expressions that predict or imply future events, trends, terms and/or conditions or that are not statements of historical matters. Such forward-looking statements are based on current expectations and projections about future events and various assumptions. The Company cautions readers of this release that these forward-looking statements are subject to risks and uncertainties, most of which are difficult to predict and many of which are beyond the Company’s control, that could cause the actual results to differ materially from the expected results.</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The Company’s most recent Annual Report on Form 20-F filed with the United States Securities and Exchange Commission (the “SEC”) on July 30, 2026 or Form 6-Ks furnished to the SEC by the Company outline certain of these risks and uncertainties which may cause actual results to differ. Forward-looking statements should be construed in light of such risk factors and undue reliance should not be placed on forward-looking statements. These forward-looking statements speak only as of the date of this release. The Company expressly disclaims any obligation or undertaking (except as required by applicable law) to release publicly any updates or revisions to any forward-looking statement contained herein to reflect any change in the Company’s expectations with regard thereto or any change in events, conditions or circumstances on which any such statement is based.</w:t>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About ReNew</w:t>
      </w:r>
    </w:p>
    <w:p>
      <w:pPr>
        <w:pStyle w:val="TextBody"/>
        <w:bidi w:val="0"/>
        <w:jc w:val="both"/>
        <w:rPr>
          <w:rFonts w:ascii="Times New Roman" w:hAnsi="Times New Roman"/>
          <w:color w:val="000000"/>
          <w:sz w:val="21"/>
        </w:rPr>
      </w:pPr>
      <w:r>
        <w:rPr>
          <w:rFonts w:ascii="Times New Roman" w:hAnsi="Times New Roman"/>
          <w:color w:val="000000"/>
          <w:sz w:val="21"/>
        </w:rPr>
        <w:t>Unless the context otherwise requires, all references in this press release to “we,” “us,” or “our” refers to ReNew and its subsidiaries.</w:t>
      </w:r>
    </w:p>
    <w:p>
      <w:pPr>
        <w:pStyle w:val="TextBody"/>
        <w:bidi w:val="0"/>
        <w:spacing w:before="120" w:after="283"/>
        <w:jc w:val="both"/>
        <w:rPr>
          <w:rFonts w:ascii="Times New Roman" w:hAnsi="Times New Roman"/>
          <w:color w:val="000000"/>
          <w:sz w:val="21"/>
        </w:rPr>
      </w:pPr>
      <w:r>
        <w:rPr>
          <w:rFonts w:ascii="Times New Roman" w:hAnsi="Times New Roman"/>
          <w:color w:val="000000"/>
          <w:sz w:val="21"/>
        </w:rPr>
        <w:t>ReNew is a leading decarbonization solutions company listed on Nasdaq (Nasdaq: RNW). ReNew’s clean energy portfolio of ~20.5 GW (including 1.7 GW/6.2 GWh of BESS) on a gross basis as of July 31, 2026, is one of the largest globally. In addition to being a major independent power producer in India, we provide end-to-end solutions in a just and inclusive manner in the areas of clean energy, value-added energy offerings through digitalization, storage, and carbon markets that are increasingly integral to addressing climate change. In addition, ReNew has 6.4 GW of solar module and 2.5 GW of solar cell manufacturing capacities and is expanding its solar cells manufacturing capacity by another 4 GW, which is expected to be operational by December 2026. For more information, visit www.renew.com and follow us on LinkedIn, Facebook, X and Instagram.</w:t>
      </w:r>
    </w:p>
    <w:p>
      <w:pPr>
        <w:pStyle w:val="TextBody"/>
        <w:bidi w:val="0"/>
        <w:jc w:val="left"/>
        <w:rPr/>
      </w:pPr>
      <w:r>
        <w:rPr/>
        <w:t> </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Press Enquiries</w:t>
      </w:r>
    </w:p>
    <w:p>
      <w:pPr>
        <w:pStyle w:val="TextBody"/>
        <w:bidi w:val="0"/>
        <w:spacing w:before="0" w:after="180"/>
        <w:jc w:val="both"/>
        <w:rPr>
          <w:rFonts w:ascii="Times New Roman" w:hAnsi="Times New Roman"/>
          <w:color w:val="000000"/>
          <w:sz w:val="21"/>
        </w:rPr>
      </w:pPr>
      <w:r>
        <w:rPr>
          <w:rFonts w:ascii="Times New Roman" w:hAnsi="Times New Roman"/>
          <w:color w:val="000000"/>
          <w:sz w:val="21"/>
        </w:rPr>
        <w:t>pr@renew.com</w:t>
      </w:r>
    </w:p>
    <w:p>
      <w:pPr>
        <w:pStyle w:val="TextBody"/>
        <w:bidi w:val="0"/>
        <w:spacing w:before="0" w:after="160"/>
        <w:jc w:val="both"/>
        <w:rPr>
          <w:rFonts w:ascii="Times New Roman" w:hAnsi="Times New Roman"/>
          <w:b/>
          <w:color w:val="000000"/>
          <w:sz w:val="21"/>
        </w:rPr>
      </w:pPr>
      <w:r>
        <w:rPr>
          <w:rFonts w:ascii="Times New Roman" w:hAnsi="Times New Roman"/>
          <w:b/>
          <w:color w:val="000000"/>
          <w:sz w:val="21"/>
        </w:rPr>
        <w:t>Investor Enquiries</w:t>
      </w:r>
    </w:p>
    <w:p>
      <w:pPr>
        <w:pStyle w:val="TextBody"/>
        <w:bidi w:val="0"/>
        <w:jc w:val="both"/>
        <w:rPr>
          <w:rFonts w:ascii="Times New Roman" w:hAnsi="Times New Roman"/>
          <w:color w:val="000000"/>
          <w:sz w:val="21"/>
        </w:rPr>
      </w:pPr>
      <w:r>
        <w:rPr>
          <w:rFonts w:ascii="Times New Roman" w:hAnsi="Times New Roman"/>
          <w:color w:val="000000"/>
          <w:sz w:val="21"/>
        </w:rPr>
        <w:t>Anunay Shahi</w:t>
      </w:r>
    </w:p>
    <w:p>
      <w:pPr>
        <w:pStyle w:val="TextBody"/>
        <w:bidi w:val="0"/>
        <w:jc w:val="both"/>
        <w:rPr>
          <w:rFonts w:ascii="Times New Roman" w:hAnsi="Times New Roman"/>
          <w:color w:val="000000"/>
          <w:sz w:val="21"/>
        </w:rPr>
      </w:pPr>
      <w:r>
        <w:rPr>
          <w:rFonts w:ascii="Times New Roman" w:hAnsi="Times New Roman"/>
          <w:color w:val="000000"/>
          <w:sz w:val="21"/>
        </w:rPr>
        <w:t>Nitin Vaid</w:t>
      </w:r>
    </w:p>
    <w:p>
      <w:pPr>
        <w:pStyle w:val="TextBody"/>
        <w:bidi w:val="0"/>
        <w:jc w:val="both"/>
        <w:rPr>
          <w:rFonts w:ascii="Times New Roman" w:hAnsi="Times New Roman"/>
          <w:color w:val="000000"/>
          <w:sz w:val="21"/>
        </w:rPr>
      </w:pPr>
      <w:r>
        <w:rPr>
          <w:rFonts w:ascii="Times New Roman" w:hAnsi="Times New Roman"/>
          <w:color w:val="000000"/>
          <w:sz w:val="21"/>
        </w:rPr>
        <w:t>ir@renew.com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1"/>
          <w:u w:val="single"/>
        </w:rPr>
      </w:pPr>
      <w:r>
        <w:rPr>
          <w:rFonts w:ascii="Times New Roman" w:hAnsi="Times New Roman"/>
          <w:b/>
          <w:color w:val="000000"/>
          <w:sz w:val="21"/>
          <w:u w:val="single"/>
        </w:rPr>
        <w:t>SIGNATURES</w:t>
      </w:r>
    </w:p>
    <w:p>
      <w:pPr>
        <w:pStyle w:val="TextBody"/>
        <w:bidi w:val="0"/>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686" w:type="dxa"/>
        <w:jc w:val="left"/>
        <w:tblInd w:w="0" w:type="dxa"/>
        <w:tblLayout w:type="fixed"/>
        <w:tblCellMar>
          <w:top w:w="28" w:type="dxa"/>
          <w:left w:w="28" w:type="dxa"/>
          <w:bottom w:w="28" w:type="dxa"/>
          <w:right w:w="28" w:type="dxa"/>
        </w:tblCellMar>
      </w:tblPr>
      <w:tblGrid>
        <w:gridCol w:w="2506"/>
        <w:gridCol w:w="848"/>
        <w:gridCol w:w="2332"/>
      </w:tblGrid>
      <w:tr>
        <w:trPr/>
        <w:tc>
          <w:tcPr>
            <w:tcW w:w="250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1"/>
              </w:rPr>
              <w:t>Dated: September 16, 2026</w:t>
            </w:r>
          </w:p>
        </w:tc>
        <w:tc>
          <w:tcPr>
            <w:tcW w:w="318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1"/>
              </w:rPr>
            </w:pPr>
            <w:r>
              <w:rPr>
                <w:rFonts w:ascii="Times New Roman" w:hAnsi="Times New Roman"/>
                <w:color w:val="000000"/>
                <w:sz w:val="21"/>
              </w:rPr>
              <w:t>RENEW ENERGY GLOBAL PLC</w:t>
            </w:r>
          </w:p>
        </w:tc>
      </w:tr>
      <w:tr>
        <w:trPr/>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both"/>
              <w:rPr/>
            </w:pPr>
            <w:r>
              <w:rPr/>
              <w:t> </w:t>
            </w:r>
          </w:p>
        </w:tc>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By:</w:t>
            </w:r>
          </w:p>
        </w:tc>
        <w:tc>
          <w:tcPr>
            <w:tcW w:w="233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1"/>
              </w:rPr>
            </w:pPr>
            <w:r>
              <w:rPr>
                <w:rFonts w:ascii="Times New Roman" w:hAnsi="Times New Roman"/>
                <w:color w:val="000000"/>
                <w:sz w:val="21"/>
              </w:rPr>
              <w:t>/s/ Samir Rai</w:t>
            </w:r>
          </w:p>
        </w:tc>
      </w:tr>
      <w:tr>
        <w:trPr/>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Name:</w:t>
            </w:r>
          </w:p>
        </w:tc>
        <w:tc>
          <w:tcPr>
            <w:tcW w:w="23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1"/>
              </w:rPr>
            </w:pPr>
            <w:r>
              <w:rPr>
                <w:rFonts w:ascii="Times New Roman" w:hAnsi="Times New Roman"/>
                <w:color w:val="000000"/>
                <w:sz w:val="21"/>
              </w:rPr>
              <w:t>Samir Rai</w:t>
            </w:r>
          </w:p>
        </w:tc>
      </w:tr>
      <w:tr>
        <w:trPr/>
        <w:tc>
          <w:tcPr>
            <w:tcW w:w="2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Title:</w:t>
            </w:r>
          </w:p>
        </w:tc>
        <w:tc>
          <w:tcPr>
            <w:tcW w:w="23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1"/>
              </w:rPr>
            </w:pPr>
            <w:r>
              <w:rPr>
                <w:rFonts w:ascii="Times New Roman" w:hAnsi="Times New Roman"/>
                <w:color w:val="000000"/>
                <w:sz w:val="21"/>
              </w:rPr>
              <w:t>Company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4106</Characters>
  <CharactersWithSpaces>4847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