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383-1_4seq1.xml.htm"/>
      <w:bookmarkStart w:id="1" w:name="kstm262538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Varghese Sanjay Chacko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VISTRA (UK)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 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 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ReNew Energy Global plc</w:t>
              </w:r>
            </w:hyperlink>
            <w:r>
              <w:rPr/>
              <w:t xml:space="preserve"> [ </w:t>
            </w:r>
            <w:r>
              <w:rPr>
                <w:rFonts w:ascii="Times;serif" w:hAnsi="Times;serif"/>
                <w:color w:val="0000FF"/>
                <w:sz w:val="24"/>
                <w:shd w:fill="FFFFFF" w:val="clear"/>
              </w:rPr>
              <w:t>RNW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09/13/2026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22,988</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95,153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grant of performance-based units, originally granted on 13 September, 2023, pursuant to the 2021 Incentive Award Plan, earned after the Issuer determined, as of September 13, 2026, that certain performance goals for the performance period ended 13 September, 2026 had been met.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and Whole Time Director of Solar Manufacturing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Sanjay Chacko Varghese, by Samir Rai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0167" TargetMode="External"/><Relationship Id="rId5" Type="http://schemas.openxmlformats.org/officeDocument/2006/relationships/hyperlink" Target="http://www.sec.gov/cgi-bin/browse-edgar?action=getcompany&amp;CIK=00018487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3454</Characters>
  <CharactersWithSpaces>4018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